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71" w:rsidRDefault="004A6825"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Приглашаем вас на семинар Андрея </w:t>
      </w:r>
      <w:proofErr w:type="spellStart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Пальцева</w:t>
      </w:r>
      <w:proofErr w:type="spellEnd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 "Взгляд на «Мышечное тестирование» с точки зрения метода «Со-творение»", который пройдет в центре "Со-творение" 26.01 и 08.02.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Мануальное мышечное тестирование используется во многих направлениях диагностики и коррекционной работы – медицине, особенно в спортивной медицине, </w:t>
      </w:r>
      <w:proofErr w:type="spellStart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остеопатии</w:t>
      </w:r>
      <w:proofErr w:type="spellEnd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кинезиологии</w:t>
      </w:r>
      <w:proofErr w:type="spellEnd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, психологии, педагогике, направлениях, помогающих бизнесу.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Метод мануального мышечного тестирования основан на законах нейрофизиологии мышечного сокращения, разработанных проф. Н.А. Бернштейном (1947), который выделил 2 фазы мышечного сокращения: </w:t>
      </w:r>
      <w:proofErr w:type="spellStart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фазическую</w:t>
      </w:r>
      <w:proofErr w:type="spellEnd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 (произвольную) и тоническую (находящуюся под контролем </w:t>
      </w:r>
      <w:proofErr w:type="spellStart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проприо</w:t>
      </w:r>
      <w:proofErr w:type="spellEnd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 – и интерорецепторов). 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Главной задачей мануального мышечного тестирования является оценка способности мышцы развивать напряжение, адекватное прилагаемому усилию.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Что будет на семинаре?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</w:rPr>
        <w:lastRenderedPageBreak/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- вы познакомитесь с вариантами мышечного тестирования;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- научитесь подбирать именно те мышцы, которые при тестировании дадут оптимальный результат;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- поймете, какие ответы вы сможете получить, с помощью мышечного тестирования, на том или ином уровне построения движений: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• уровень</w:t>
      </w:r>
      <w:proofErr w:type="gramStart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 А</w:t>
      </w:r>
      <w:proofErr w:type="gramEnd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 – связь тонуса и тревожности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• уровень В – тестирование двигательных цепей (</w:t>
      </w:r>
      <w:proofErr w:type="spellStart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Т.Майерс</w:t>
      </w:r>
      <w:proofErr w:type="spellEnd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)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• уровень С – тестирование возможностей тела по подуровням С1 и С2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• уровень D - мы можем разговаривать с телом, получая от него ответы «Да» или «Нет»: тестирование социальных взаимодействий, детско-родительских отношений и т.п.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- познакомитесь как зависят ответы мышечного тестирования от сохранности/нарушений того или иного уровня построения движений;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- узнаете, в каких случаях этот метод можно использовать, а в каких не стоит;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lastRenderedPageBreak/>
        <w:t xml:space="preserve">- поймете, подходите ли именно вы для проведения такой работы. 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И, как бонус, - познакомитесь </w:t>
      </w:r>
      <w:proofErr w:type="gramStart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в</w:t>
      </w:r>
      <w:proofErr w:type="gramEnd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возможностью</w:t>
      </w:r>
      <w:proofErr w:type="gramEnd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 построения целостного Брюшка с опорой на мышечный тест.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Ведущий</w:t>
      </w:r>
      <w:proofErr w:type="gramStart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 Пальцев Андрей Анатольевич - практикующий телесный психотерапевт, использующий в работе </w:t>
      </w:r>
      <w:proofErr w:type="spellStart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остеопатические</w:t>
      </w:r>
      <w:proofErr w:type="spellEnd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 техники.</w:t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</w:rPr>
        <w:br/>
      </w:r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Организатор: Наталья, тел. +79775322326, </w:t>
      </w:r>
      <w:proofErr w:type="spellStart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>вотсапп</w:t>
      </w:r>
      <w:proofErr w:type="spellEnd"/>
      <w:r>
        <w:rPr>
          <w:rFonts w:ascii="Helvetica" w:hAnsi="Helvetica" w:cs="Helvetica"/>
          <w:color w:val="1D2129"/>
          <w:sz w:val="42"/>
          <w:szCs w:val="42"/>
          <w:shd w:val="clear" w:color="auto" w:fill="FFFFFF"/>
        </w:rPr>
        <w:t xml:space="preserve"> +79826560788,</w:t>
      </w:r>
    </w:p>
    <w:sectPr w:rsidR="006D6471" w:rsidSect="006D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A6825"/>
    <w:rsid w:val="004A6825"/>
    <w:rsid w:val="006D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Company>Krokoz™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2019-03-16T15:31:00Z</dcterms:created>
  <dcterms:modified xsi:type="dcterms:W3CDTF">2019-03-16T15:31:00Z</dcterms:modified>
</cp:coreProperties>
</file>